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795615">
        <w:rPr>
          <w:b/>
          <w:sz w:val="28"/>
          <w:szCs w:val="28"/>
        </w:rPr>
        <w:t>5d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CE322C">
        <w:rPr>
          <w:b/>
          <w:sz w:val="28"/>
          <w:szCs w:val="28"/>
        </w:rPr>
        <w:t xml:space="preserve"> – część 4</w:t>
      </w:r>
      <w:r w:rsidR="00337C86">
        <w:rPr>
          <w:b/>
          <w:sz w:val="28"/>
          <w:szCs w:val="28"/>
        </w:rPr>
        <w:t xml:space="preserve"> (sprzęt </w:t>
      </w:r>
      <w:r w:rsidR="00CE322C">
        <w:rPr>
          <w:b/>
          <w:sz w:val="28"/>
          <w:szCs w:val="28"/>
        </w:rPr>
        <w:t>audiowizualny</w:t>
      </w:r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Oprogramowanie musi być nowe, nieużywane </w:t>
      </w:r>
      <w:r w:rsidRPr="00234D73">
        <w:t>i nieaktywowane wcześniej na żadnym innym urządzeniu</w:t>
      </w:r>
      <w:r>
        <w:t xml:space="preserve">. Ponadto </w:t>
      </w:r>
      <w:r w:rsidRPr="00234D73">
        <w:t>powinno być w pełni legalne, ze wszystkimi atrybutami legalności przewidzianymi przez producenta oprogramowania dla fabrycznie nowej wersji produktu. Niedopuszczalne jest oprogramowanie pochodzące z rynku wtórnego, uprzednio aktywowane na innym sprzęcie komputerowym.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A86D67" w:rsidTr="00834709">
        <w:tc>
          <w:tcPr>
            <w:tcW w:w="197" w:type="pct"/>
          </w:tcPr>
          <w:p w:rsidR="002A740F" w:rsidRPr="00A86D67" w:rsidRDefault="006D3F0E" w:rsidP="00415FD6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:rsidR="002A740F" w:rsidRPr="00724BC3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Monitor interaktywny</w:t>
            </w:r>
            <w:r>
              <w:rPr>
                <w:b/>
              </w:rPr>
              <w:t xml:space="preserve"> (</w:t>
            </w:r>
            <w:r w:rsidRPr="00724BC3">
              <w:rPr>
                <w:b/>
              </w:rPr>
              <w:t>2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:rsidR="002A740F" w:rsidRDefault="002A740F" w:rsidP="00415FD6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Monitor interaktywny</w:t>
            </w:r>
            <w:r>
              <w:rPr>
                <w:b/>
              </w:rPr>
              <w:t xml:space="preserve"> z ekranem dotykowym</w:t>
            </w:r>
            <w:r w:rsidRPr="00E65D97">
              <w:rPr>
                <w:b/>
              </w:rPr>
              <w:t>: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typ w</w:t>
            </w:r>
            <w:r w:rsidRPr="007B4617">
              <w:t>yświetlacz</w:t>
            </w:r>
            <w:r>
              <w:t>a</w:t>
            </w:r>
            <w:r w:rsidRPr="007B4617">
              <w:t>:</w:t>
            </w:r>
            <w:r>
              <w:t xml:space="preserve"> </w:t>
            </w:r>
            <w:r w:rsidRPr="007B4617">
              <w:t>LED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 xml:space="preserve">podświetlenie: </w:t>
            </w:r>
            <w:r w:rsidRPr="007B4617">
              <w:t>DLED‎</w:t>
            </w:r>
            <w:r>
              <w:t>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powłoka przeciwodblaskowa,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p</w:t>
            </w:r>
            <w:r w:rsidRPr="007B4617">
              <w:t xml:space="preserve">rzekątna </w:t>
            </w:r>
            <w:r>
              <w:t xml:space="preserve">ekranu co najmniej: </w:t>
            </w:r>
            <w:r w:rsidRPr="007B4617">
              <w:t>65</w:t>
            </w:r>
            <w:r>
              <w:t>”,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interfejs dotykowy oparty na podczerwieni,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j</w:t>
            </w:r>
            <w:r w:rsidRPr="007B4617">
              <w:t xml:space="preserve">asność </w:t>
            </w:r>
            <w:r>
              <w:t>co najmniej</w:t>
            </w:r>
            <w:r w:rsidRPr="007B4617">
              <w:t>:</w:t>
            </w:r>
            <w:r>
              <w:t xml:space="preserve"> </w:t>
            </w:r>
            <w:r w:rsidR="005A2A56">
              <w:t>3</w:t>
            </w:r>
            <w:bookmarkStart w:id="0" w:name="_GoBack"/>
            <w:bookmarkEnd w:id="0"/>
            <w:r w:rsidRPr="007B4617">
              <w:t>50</w:t>
            </w:r>
            <w:r>
              <w:t xml:space="preserve"> </w:t>
            </w:r>
            <w:r w:rsidRPr="007B4617">
              <w:t>cd/m2</w:t>
            </w:r>
            <w:r>
              <w:t>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k</w:t>
            </w:r>
            <w:r w:rsidRPr="007B4617">
              <w:t>ontrast</w:t>
            </w:r>
            <w:r>
              <w:t xml:space="preserve"> statyczny co najmniej</w:t>
            </w:r>
            <w:r w:rsidRPr="007B4617">
              <w:t>:</w:t>
            </w:r>
            <w:r>
              <w:t xml:space="preserve"> </w:t>
            </w:r>
            <w:r w:rsidRPr="007B4617">
              <w:t>1200:1</w:t>
            </w:r>
            <w:r>
              <w:t>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k</w:t>
            </w:r>
            <w:r w:rsidRPr="007B4617">
              <w:t xml:space="preserve">ąt widzenia </w:t>
            </w:r>
            <w:r>
              <w:t xml:space="preserve">co najmniej </w:t>
            </w:r>
            <w:r w:rsidRPr="007B4617">
              <w:t>(poziom/pion):</w:t>
            </w:r>
            <w:r>
              <w:t xml:space="preserve"> </w:t>
            </w:r>
            <w:r w:rsidRPr="007B4617">
              <w:t>178 / 178</w:t>
            </w:r>
            <w:r>
              <w:t>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c</w:t>
            </w:r>
            <w:r w:rsidRPr="007B4617">
              <w:t>zas reakcji matrycy</w:t>
            </w:r>
            <w:r>
              <w:t xml:space="preserve"> &lt;= </w:t>
            </w:r>
            <w:r w:rsidRPr="007B4617">
              <w:t>8 ms</w:t>
            </w:r>
            <w:r>
              <w:t>,</w:t>
            </w:r>
          </w:p>
          <w:p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 xml:space="preserve">rozdzielczość co najmniej: </w:t>
            </w:r>
            <w:r w:rsidRPr="007B4617">
              <w:t>3840 x 2160</w:t>
            </w:r>
            <w:r>
              <w:t>,</w:t>
            </w:r>
          </w:p>
          <w:p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t>wbudowane złącza co najmniej: wejście HDMI x3; wejście VGA x1, Slot OPS x1; odtwarzacz USB x4,</w:t>
            </w:r>
          </w:p>
          <w:p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lastRenderedPageBreak/>
              <w:t>wbudowane głośniki o mocy przynajmniej 2x 16W,</w:t>
            </w:r>
          </w:p>
          <w:p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t>dostępny język polski z wyświetlanych na ekranie,</w:t>
            </w:r>
          </w:p>
          <w:p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b/>
              </w:rPr>
            </w:pPr>
            <w:r w:rsidRPr="00AB30EA">
              <w:t>pilot zdalnego sterowania,</w:t>
            </w:r>
          </w:p>
          <w:p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b/>
              </w:rPr>
            </w:pPr>
            <w:r>
              <w:t>dołączony odpowiedni uchwyt ścienny,</w:t>
            </w:r>
          </w:p>
        </w:tc>
        <w:tc>
          <w:tcPr>
            <w:tcW w:w="1196" w:type="pct"/>
          </w:tcPr>
          <w:p w:rsidR="002A740F" w:rsidRDefault="002A740F" w:rsidP="00415FD6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415FD6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86D67" w:rsidRDefault="002A740F" w:rsidP="00415FD6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:rsidTr="00834709">
        <w:tc>
          <w:tcPr>
            <w:tcW w:w="197" w:type="pct"/>
          </w:tcPr>
          <w:p w:rsidR="002A740F" w:rsidRPr="00A86D67" w:rsidRDefault="006D3F0E" w:rsidP="00680AC7">
            <w:pPr>
              <w:spacing w:line="360" w:lineRule="auto"/>
              <w:ind w:left="0" w:firstLine="0"/>
            </w:pPr>
            <w:r>
              <w:lastRenderedPageBreak/>
              <w:t>2</w:t>
            </w:r>
          </w:p>
        </w:tc>
        <w:tc>
          <w:tcPr>
            <w:tcW w:w="836" w:type="pct"/>
          </w:tcPr>
          <w:p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Ekran sterowany elektrycznie (1 szt.)</w:t>
            </w:r>
          </w:p>
        </w:tc>
        <w:tc>
          <w:tcPr>
            <w:tcW w:w="2771" w:type="pct"/>
          </w:tcPr>
          <w:p w:rsidR="002A740F" w:rsidRPr="002A3948" w:rsidRDefault="002A740F" w:rsidP="002A3948">
            <w:pPr>
              <w:spacing w:line="360" w:lineRule="auto"/>
              <w:ind w:left="0" w:firstLine="0"/>
              <w:rPr>
                <w:b/>
              </w:rPr>
            </w:pPr>
            <w:r w:rsidRPr="002A3948">
              <w:rPr>
                <w:b/>
              </w:rPr>
              <w:t>Ekran do projektora sterowany elektrycznie: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sposób mocowania: ścienno-sufitowy,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format: 16:9,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wymiary powierzchni projekcyjnej (szerokość x wysokość) min.: 265x149 cm,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przystosowany do różnego rodzaju projektorów - CRT, LCD, DLP, 3LCD, LED, 3LCD, 2k, 4k, HD,</w:t>
            </w:r>
          </w:p>
          <w:p w:rsidR="002A740F" w:rsidRPr="00A86D67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wyposażony w pilota zdalnego sterowania oraz przełącznik ścienny.</w:t>
            </w:r>
          </w:p>
        </w:tc>
        <w:tc>
          <w:tcPr>
            <w:tcW w:w="1196" w:type="pct"/>
          </w:tcPr>
          <w:p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86D67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6D3F0E" w:rsidP="00680AC7">
            <w:pPr>
              <w:spacing w:line="360" w:lineRule="auto"/>
              <w:ind w:left="0" w:firstLine="0"/>
            </w:pPr>
            <w:r>
              <w:t>3</w:t>
            </w:r>
          </w:p>
        </w:tc>
        <w:tc>
          <w:tcPr>
            <w:tcW w:w="836" w:type="pct"/>
          </w:tcPr>
          <w:p w:rsidR="002A740F" w:rsidRPr="00AB64D2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AB64D2">
              <w:rPr>
                <w:b/>
              </w:rPr>
              <w:t>Tablica interaktywna (2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pr</w:t>
            </w:r>
            <w:r w:rsidR="00E5379B">
              <w:t>zekątna tablicy co najmniej: 90</w:t>
            </w:r>
            <w:r>
              <w:t>",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 xml:space="preserve">przekątna powierzchni roboczej co najmniej: </w:t>
            </w:r>
            <w:r w:rsidR="00D43B8F">
              <w:t>90</w:t>
            </w:r>
            <w:r>
              <w:t>",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powierzchnia magnetyczna, matowa, miejscowe uszkodzenie powierzchni nie może wpływać na działanie tablicy,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sposób obsługi: dowolny wskaźnik (np. palec),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format: 16:10,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rozdzielczość co najmniej: 32768 x 32768,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komunikacja oraz zasilanie poprzez USB,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paski skrótów po obu stronach tablicy,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inteligentna półka na pisaki,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dołączony przewód USB o długości przynajmniej 5m,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dołączone pisaki w liczbie co najmniej 3 szt.,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lastRenderedPageBreak/>
              <w:t>dołączone uchwyty pozwalające na montaż ścienny,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dołączony wskaźnik teleskopowy,</w:t>
            </w:r>
          </w:p>
          <w:p w:rsidR="002A740F" w:rsidRPr="00A310A6" w:rsidRDefault="002A740F" w:rsidP="00433D75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b/>
              </w:rPr>
            </w:pPr>
            <w:r w:rsidRPr="003910C5">
              <w:rPr>
                <w:b/>
              </w:rPr>
              <w:t xml:space="preserve">w komplecie z tablicą </w:t>
            </w:r>
            <w:r>
              <w:rPr>
                <w:b/>
              </w:rPr>
              <w:t xml:space="preserve">interaktywną dołączony </w:t>
            </w:r>
            <w:r w:rsidRPr="003910C5">
              <w:rPr>
                <w:b/>
              </w:rPr>
              <w:t>dedykowany projektor krótkoogniskowy o ja</w:t>
            </w:r>
            <w:r w:rsidR="00945A28">
              <w:rPr>
                <w:b/>
              </w:rPr>
              <w:t>s</w:t>
            </w:r>
            <w:r w:rsidRPr="003910C5">
              <w:rPr>
                <w:b/>
              </w:rPr>
              <w:t xml:space="preserve">ności min. 3500 lumenów, </w:t>
            </w:r>
            <w:r>
              <w:rPr>
                <w:b/>
              </w:rPr>
              <w:t xml:space="preserve"> </w:t>
            </w:r>
            <w:r w:rsidR="00433D75">
              <w:rPr>
                <w:b/>
              </w:rPr>
              <w:t>wraz z kompatybilnym uchwytem pozwalającym na montaż ścienny</w:t>
            </w:r>
            <w:r>
              <w:rPr>
                <w:b/>
              </w:rPr>
              <w:t>.</w:t>
            </w: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6D3F0E" w:rsidP="00E6760C">
            <w:pPr>
              <w:spacing w:line="360" w:lineRule="auto"/>
              <w:ind w:left="0" w:firstLine="0"/>
            </w:pPr>
            <w:r>
              <w:lastRenderedPageBreak/>
              <w:t>4</w:t>
            </w:r>
          </w:p>
        </w:tc>
        <w:tc>
          <w:tcPr>
            <w:tcW w:w="836" w:type="pct"/>
          </w:tcPr>
          <w:p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Projektor multimedialny (3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kontrast co najmniej: 15000:1,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rozdzielczość co najmniej: 1920 x 1200 pikseli,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jasność</w:t>
            </w:r>
            <w:r>
              <w:tab/>
              <w:t xml:space="preserve">min. 3400 ANSI lum.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moc lampy min. 210W,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deklarowana przez producenta żywotność lampy min. 6000h,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 xml:space="preserve">wbudowany głośnik, </w:t>
            </w:r>
          </w:p>
          <w:p w:rsidR="002A740F" w:rsidRPr="00675D85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złącza co najmniej:  1 x VGA, 2 x HDMI.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:rsidTr="00834709">
        <w:tc>
          <w:tcPr>
            <w:tcW w:w="197" w:type="pct"/>
          </w:tcPr>
          <w:p w:rsidR="002A740F" w:rsidRPr="00AA1495" w:rsidRDefault="006D3F0E" w:rsidP="00E6760C">
            <w:pPr>
              <w:spacing w:line="360" w:lineRule="auto"/>
              <w:ind w:left="0" w:firstLine="0"/>
            </w:pPr>
            <w:r>
              <w:t>5</w:t>
            </w:r>
          </w:p>
        </w:tc>
        <w:tc>
          <w:tcPr>
            <w:tcW w:w="836" w:type="pct"/>
          </w:tcPr>
          <w:p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Wizualizer (2 szt.)</w:t>
            </w:r>
          </w:p>
        </w:tc>
        <w:tc>
          <w:tcPr>
            <w:tcW w:w="2771" w:type="pct"/>
          </w:tcPr>
          <w:p w:rsidR="002A740F" w:rsidRPr="0027708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277085">
              <w:rPr>
                <w:b/>
              </w:rPr>
              <w:t>Wizualizer: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zoom optyczny 12-krotny,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autofocus,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obszar skanowania (rejestrowania) przynajmniej: </w:t>
            </w:r>
            <w:r w:rsidRPr="00277085">
              <w:t>297 x 420 mm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rozdzielczość efektywna min.: </w:t>
            </w:r>
            <w:r w:rsidRPr="00277085">
              <w:t>Full HD 1080p (1920 x 1080)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wyposażony w złącza: USB, wejście VGA, wyjście VGA, wyjście HDMI,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wbudowany mikrofon oraz gniazdo kart pamięci SD,</w:t>
            </w:r>
          </w:p>
          <w:p w:rsidR="002A740F" w:rsidRPr="00AA1495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z</w:t>
            </w:r>
            <w:r w:rsidRPr="00B308B4">
              <w:t>amek Kensington</w:t>
            </w:r>
            <w:r>
              <w:t>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lastRenderedPageBreak/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poniedziałek–piątek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1D" w:rsidRDefault="0005531D" w:rsidP="00F94F18">
      <w:r>
        <w:separator/>
      </w:r>
    </w:p>
  </w:endnote>
  <w:endnote w:type="continuationSeparator" w:id="0">
    <w:p w:rsidR="0005531D" w:rsidRDefault="0005531D" w:rsidP="00F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3776"/>
      <w:docPartObj>
        <w:docPartGallery w:val="Page Numbers (Bottom of Page)"/>
        <w:docPartUnique/>
      </w:docPartObj>
    </w:sdtPr>
    <w:sdtEndPr/>
    <w:sdtContent>
      <w:p w:rsidR="00874003" w:rsidRDefault="00AD7346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5A2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1D" w:rsidRDefault="0005531D" w:rsidP="00F94F18">
      <w:r>
        <w:separator/>
      </w:r>
    </w:p>
  </w:footnote>
  <w:footnote w:type="continuationSeparator" w:id="0">
    <w:p w:rsidR="0005531D" w:rsidRDefault="0005531D" w:rsidP="00F9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3" w:rsidRDefault="00874003" w:rsidP="00F418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0D"/>
    <w:rsid w:val="00002659"/>
    <w:rsid w:val="00004576"/>
    <w:rsid w:val="000366C7"/>
    <w:rsid w:val="00047D09"/>
    <w:rsid w:val="0005422C"/>
    <w:rsid w:val="000544E1"/>
    <w:rsid w:val="0005531D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46CFF"/>
    <w:rsid w:val="00153C02"/>
    <w:rsid w:val="0015626C"/>
    <w:rsid w:val="001815F8"/>
    <w:rsid w:val="00184DAF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2E62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3D75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A2A56"/>
    <w:rsid w:val="005B7314"/>
    <w:rsid w:val="005C5494"/>
    <w:rsid w:val="005D2B2D"/>
    <w:rsid w:val="005E1D37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3F0E"/>
    <w:rsid w:val="006D4B4E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95615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3930"/>
    <w:rsid w:val="00AD6E3A"/>
    <w:rsid w:val="00AD7346"/>
    <w:rsid w:val="00AF09CE"/>
    <w:rsid w:val="00AF4B2C"/>
    <w:rsid w:val="00AF5FE5"/>
    <w:rsid w:val="00B0146C"/>
    <w:rsid w:val="00B03F24"/>
    <w:rsid w:val="00B17898"/>
    <w:rsid w:val="00B308B4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E322C"/>
    <w:rsid w:val="00CF2851"/>
    <w:rsid w:val="00D03ED0"/>
    <w:rsid w:val="00D0467D"/>
    <w:rsid w:val="00D1635D"/>
    <w:rsid w:val="00D22342"/>
    <w:rsid w:val="00D318E9"/>
    <w:rsid w:val="00D37A7C"/>
    <w:rsid w:val="00D43B8F"/>
    <w:rsid w:val="00D50FB3"/>
    <w:rsid w:val="00D603BD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24C09"/>
    <w:rsid w:val="00E37B0F"/>
    <w:rsid w:val="00E51D8F"/>
    <w:rsid w:val="00E5379B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701"/>
  <w15:docId w15:val="{DD285BE1-B90E-464C-9D9F-7D8B18C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1063-A9C1-414B-8A25-65427BC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4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Tomasz Lutkiewicz</cp:lastModifiedBy>
  <cp:revision>199</cp:revision>
  <cp:lastPrinted>2019-08-28T06:28:00Z</cp:lastPrinted>
  <dcterms:created xsi:type="dcterms:W3CDTF">2018-05-15T10:10:00Z</dcterms:created>
  <dcterms:modified xsi:type="dcterms:W3CDTF">2019-12-16T14:06:00Z</dcterms:modified>
</cp:coreProperties>
</file>